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377" w:val="left" w:leader="none"/>
        </w:tabs>
        <w:spacing w:line="240" w:lineRule="auto"/>
        <w:ind w:left="325" w:right="0" w:firstLine="0"/>
        <w:rPr>
          <w:rFonts w:ascii="Times New Roman"/>
          <w:sz w:val="20"/>
        </w:rPr>
      </w:pPr>
      <w:r>
        <w:rPr>
          <w:rFonts w:ascii="Times New Roman"/>
          <w:position w:val="26"/>
          <w:sz w:val="20"/>
        </w:rPr>
        <w:drawing>
          <wp:inline distT="0" distB="0" distL="0" distR="0">
            <wp:extent cx="1744000" cy="54254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000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6"/>
          <w:sz w:val="20"/>
        </w:rPr>
      </w:r>
      <w:r>
        <w:rPr>
          <w:rFonts w:ascii="Times New Roman"/>
          <w:position w:val="26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657712" cy="43205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712" cy="43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2"/>
        </w:rPr>
      </w:pPr>
    </w:p>
    <w:tbl>
      <w:tblPr>
        <w:tblW w:w="0" w:type="auto"/>
        <w:jc w:val="left"/>
        <w:tblInd w:w="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8"/>
        <w:gridCol w:w="1565"/>
        <w:gridCol w:w="1983"/>
        <w:gridCol w:w="2636"/>
      </w:tblGrid>
      <w:tr>
        <w:trPr>
          <w:trHeight w:val="398" w:hRule="atLeast"/>
        </w:trPr>
        <w:tc>
          <w:tcPr>
            <w:tcW w:w="9502" w:type="dxa"/>
            <w:gridSpan w:val="4"/>
            <w:shd w:val="clear" w:color="auto" w:fill="16365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626" w:right="2600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Art. 7 de la Ley Orgánica de Transparencia y Acceso a la Información Pública - LOTAIP</w:t>
            </w:r>
          </w:p>
        </w:tc>
      </w:tr>
      <w:tr>
        <w:trPr>
          <w:trHeight w:val="258" w:hRule="atLeast"/>
        </w:trPr>
        <w:tc>
          <w:tcPr>
            <w:tcW w:w="9502" w:type="dxa"/>
            <w:gridSpan w:val="4"/>
            <w:shd w:val="clear" w:color="auto" w:fill="16365C"/>
          </w:tcPr>
          <w:p>
            <w:pPr>
              <w:pStyle w:val="TableParagraph"/>
              <w:spacing w:before="44"/>
              <w:ind w:left="2617" w:right="2600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Literal a3) Regulaciones y procedimientos internos aplicables a la entidad</w:t>
            </w:r>
          </w:p>
        </w:tc>
      </w:tr>
      <w:tr>
        <w:trPr>
          <w:trHeight w:val="537" w:hRule="atLeast"/>
        </w:trPr>
        <w:tc>
          <w:tcPr>
            <w:tcW w:w="3318" w:type="dxa"/>
            <w:shd w:val="clear" w:color="auto" w:fill="C5D9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61" w:lineRule="auto" w:before="1"/>
              <w:ind w:left="835" w:hanging="505"/>
              <w:rPr>
                <w:b/>
                <w:sz w:val="12"/>
              </w:rPr>
            </w:pPr>
            <w:r>
              <w:rPr>
                <w:b/>
                <w:sz w:val="12"/>
              </w:rPr>
              <w:t>Regulación o procedimiento que expide la resolución, reglamento, instructivo o manual</w:t>
            </w:r>
          </w:p>
        </w:tc>
        <w:tc>
          <w:tcPr>
            <w:tcW w:w="1565" w:type="dxa"/>
            <w:shd w:val="clear" w:color="auto" w:fill="C5D9EF"/>
          </w:tcPr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284" w:right="2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No. del documento</w:t>
            </w:r>
          </w:p>
        </w:tc>
        <w:tc>
          <w:tcPr>
            <w:tcW w:w="1983" w:type="dxa"/>
            <w:shd w:val="clear" w:color="auto" w:fill="C5D9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61" w:lineRule="auto" w:before="1"/>
              <w:ind w:left="629" w:right="267" w:hanging="322"/>
              <w:rPr>
                <w:b/>
                <w:sz w:val="12"/>
              </w:rPr>
            </w:pPr>
            <w:r>
              <w:rPr>
                <w:b/>
                <w:sz w:val="12"/>
              </w:rPr>
              <w:t>Fecha de la regulación o del procedimiento</w:t>
            </w:r>
          </w:p>
        </w:tc>
        <w:tc>
          <w:tcPr>
            <w:tcW w:w="2636" w:type="dxa"/>
            <w:shd w:val="clear" w:color="auto" w:fill="C5D9E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61" w:lineRule="auto" w:before="1"/>
              <w:ind w:left="956" w:hanging="894"/>
              <w:rPr>
                <w:b/>
                <w:sz w:val="12"/>
              </w:rPr>
            </w:pPr>
            <w:r>
              <w:rPr>
                <w:b/>
                <w:sz w:val="12"/>
              </w:rPr>
              <w:t>Link para descargar el contenido de la regulación o procedimiento</w:t>
            </w:r>
          </w:p>
        </w:tc>
      </w:tr>
      <w:tr>
        <w:trPr>
          <w:trHeight w:val="542" w:hRule="atLeast"/>
        </w:trPr>
        <w:tc>
          <w:tcPr>
            <w:tcW w:w="331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356" w:right="339"/>
              <w:jc w:val="center"/>
              <w:rPr>
                <w:sz w:val="11"/>
              </w:rPr>
            </w:pPr>
            <w:r>
              <w:rPr>
                <w:sz w:val="11"/>
              </w:rPr>
              <w:t>Reglamento Interno Ministerio del Interior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84" w:right="262"/>
              <w:jc w:val="center"/>
              <w:rPr>
                <w:sz w:val="11"/>
              </w:rPr>
            </w:pPr>
            <w:r>
              <w:rPr>
                <w:sz w:val="11"/>
              </w:rPr>
              <w:t>5392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408"/>
              <w:rPr>
                <w:sz w:val="11"/>
              </w:rPr>
            </w:pPr>
            <w:r>
              <w:rPr>
                <w:sz w:val="11"/>
              </w:rPr>
              <w:t>05 de Marzo de 2015</w:t>
            </w:r>
          </w:p>
        </w:tc>
        <w:tc>
          <w:tcPr>
            <w:tcW w:w="263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569" w:right="549"/>
              <w:jc w:val="center"/>
              <w:rPr>
                <w:sz w:val="11"/>
              </w:rPr>
            </w:pPr>
            <w:hyperlink r:id="rId7">
              <w:r>
                <w:rPr>
                  <w:color w:val="0000FF"/>
                  <w:sz w:val="11"/>
                  <w:u w:val="single" w:color="0000FF"/>
                </w:rPr>
                <w:t>Reglamento MD</w:t>
              </w:r>
              <w:r>
                <w:rPr>
                  <w:color w:val="0000FF"/>
                  <w:sz w:val="11"/>
                </w:rPr>
                <w:t>I</w:t>
              </w:r>
            </w:hyperlink>
          </w:p>
        </w:tc>
      </w:tr>
      <w:tr>
        <w:trPr>
          <w:trHeight w:val="541" w:hRule="atLeast"/>
        </w:trPr>
        <w:tc>
          <w:tcPr>
            <w:tcW w:w="331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56" w:right="334"/>
              <w:jc w:val="center"/>
              <w:rPr>
                <w:sz w:val="11"/>
              </w:rPr>
            </w:pPr>
            <w:r>
              <w:rPr>
                <w:sz w:val="11"/>
              </w:rPr>
              <w:t>Reglamento Utilización de Vehiculos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7"/>
              <w:jc w:val="center"/>
              <w:rPr>
                <w:sz w:val="11"/>
              </w:rPr>
            </w:pPr>
            <w:r>
              <w:rPr>
                <w:w w:val="100"/>
                <w:sz w:val="11"/>
              </w:rPr>
              <w:t>5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28"/>
              <w:rPr>
                <w:sz w:val="11"/>
              </w:rPr>
            </w:pPr>
            <w:r>
              <w:rPr>
                <w:sz w:val="11"/>
              </w:rPr>
              <w:t>20 de Enero del 2014</w:t>
            </w:r>
          </w:p>
        </w:tc>
        <w:tc>
          <w:tcPr>
            <w:tcW w:w="263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69" w:right="555"/>
              <w:jc w:val="center"/>
              <w:rPr>
                <w:sz w:val="11"/>
              </w:rPr>
            </w:pPr>
            <w:hyperlink r:id="rId8">
              <w:r>
                <w:rPr>
                  <w:color w:val="0000FF"/>
                  <w:sz w:val="11"/>
                  <w:u w:val="single" w:color="0000FF"/>
                </w:rPr>
                <w:t>Reglamento UtilizacionVehiculos</w:t>
              </w:r>
            </w:hyperlink>
          </w:p>
        </w:tc>
      </w:tr>
      <w:tr>
        <w:trPr>
          <w:trHeight w:val="542" w:hRule="atLeast"/>
        </w:trPr>
        <w:tc>
          <w:tcPr>
            <w:tcW w:w="331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66" w:lineRule="auto"/>
              <w:ind w:left="1502" w:hanging="1364"/>
              <w:rPr>
                <w:sz w:val="11"/>
              </w:rPr>
            </w:pPr>
            <w:r>
              <w:rPr>
                <w:sz w:val="11"/>
              </w:rPr>
              <w:t>Reglamento General Sustitutivo para el Manejo de Bienes del Sector Público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84" w:right="265"/>
              <w:jc w:val="center"/>
              <w:rPr>
                <w:sz w:val="11"/>
              </w:rPr>
            </w:pPr>
            <w:r>
              <w:rPr>
                <w:sz w:val="11"/>
              </w:rPr>
              <w:t>378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17 de Octubre de 2006</w:t>
            </w:r>
          </w:p>
        </w:tc>
        <w:tc>
          <w:tcPr>
            <w:tcW w:w="263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69" w:right="550"/>
              <w:jc w:val="center"/>
              <w:rPr>
                <w:sz w:val="11"/>
              </w:rPr>
            </w:pPr>
            <w:hyperlink r:id="rId9">
              <w:r>
                <w:rPr>
                  <w:color w:val="0000FF"/>
                  <w:sz w:val="11"/>
                  <w:u w:val="single" w:color="0000FF"/>
                </w:rPr>
                <w:t>Reglamento Manejo de Bienes</w:t>
              </w:r>
            </w:hyperlink>
          </w:p>
        </w:tc>
      </w:tr>
      <w:tr>
        <w:trPr>
          <w:trHeight w:val="541" w:hRule="atLeast"/>
        </w:trPr>
        <w:tc>
          <w:tcPr>
            <w:tcW w:w="331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8" w:right="340"/>
              <w:jc w:val="center"/>
              <w:rPr>
                <w:sz w:val="11"/>
              </w:rPr>
            </w:pPr>
            <w:r>
              <w:rPr>
                <w:sz w:val="11"/>
              </w:rPr>
              <w:t>Reglamento de la Ley de Ventas Y Sorteos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84" w:right="265"/>
              <w:jc w:val="center"/>
              <w:rPr>
                <w:sz w:val="11"/>
              </w:rPr>
            </w:pPr>
            <w:r>
              <w:rPr>
                <w:sz w:val="11"/>
              </w:rPr>
              <w:t>946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451"/>
              <w:jc w:val="right"/>
              <w:rPr>
                <w:sz w:val="11"/>
              </w:rPr>
            </w:pPr>
            <w:r>
              <w:rPr>
                <w:sz w:val="11"/>
              </w:rPr>
              <w:t>29 Septiembre de 1989</w:t>
            </w:r>
          </w:p>
        </w:tc>
        <w:tc>
          <w:tcPr>
            <w:tcW w:w="263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69" w:right="550"/>
              <w:jc w:val="center"/>
              <w:rPr>
                <w:sz w:val="11"/>
              </w:rPr>
            </w:pPr>
            <w:hyperlink r:id="rId10">
              <w:r>
                <w:rPr>
                  <w:color w:val="0000FF"/>
                  <w:sz w:val="11"/>
                  <w:u w:val="single" w:color="0000FF"/>
                </w:rPr>
                <w:t>Reglamento Venta y Sorteos</w:t>
              </w:r>
            </w:hyperlink>
          </w:p>
        </w:tc>
      </w:tr>
      <w:tr>
        <w:trPr>
          <w:trHeight w:val="542" w:hRule="atLeast"/>
        </w:trPr>
        <w:tc>
          <w:tcPr>
            <w:tcW w:w="331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56" w:right="333"/>
              <w:jc w:val="center"/>
              <w:rPr>
                <w:sz w:val="11"/>
              </w:rPr>
            </w:pPr>
            <w:r>
              <w:rPr>
                <w:sz w:val="11"/>
              </w:rPr>
              <w:t>Estatuto Orgánico por Procesos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84" w:right="265"/>
              <w:jc w:val="center"/>
              <w:rPr>
                <w:sz w:val="11"/>
              </w:rPr>
            </w:pPr>
            <w:r>
              <w:rPr>
                <w:sz w:val="11"/>
              </w:rPr>
              <w:t>102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412"/>
              <w:jc w:val="right"/>
              <w:rPr>
                <w:sz w:val="11"/>
              </w:rPr>
            </w:pPr>
            <w:r>
              <w:rPr>
                <w:sz w:val="11"/>
              </w:rPr>
              <w:t>03 de Diciembre de 2012</w:t>
            </w:r>
          </w:p>
        </w:tc>
        <w:tc>
          <w:tcPr>
            <w:tcW w:w="263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69" w:right="544"/>
              <w:jc w:val="center"/>
              <w:rPr>
                <w:sz w:val="11"/>
              </w:rPr>
            </w:pPr>
            <w:hyperlink r:id="rId11">
              <w:r>
                <w:rPr>
                  <w:color w:val="0000FF"/>
                  <w:sz w:val="11"/>
                  <w:u w:val="single" w:color="0000FF"/>
                </w:rPr>
                <w:t>Estatuto por Procesos</w:t>
              </w:r>
            </w:hyperlink>
          </w:p>
        </w:tc>
      </w:tr>
      <w:tr>
        <w:trPr>
          <w:trHeight w:val="542" w:hRule="atLeast"/>
        </w:trPr>
        <w:tc>
          <w:tcPr>
            <w:tcW w:w="331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56" w:right="338"/>
              <w:jc w:val="center"/>
              <w:rPr>
                <w:sz w:val="11"/>
              </w:rPr>
            </w:pPr>
            <w:r>
              <w:rPr>
                <w:sz w:val="11"/>
              </w:rPr>
              <w:t>Instructivo para la Intervención de Intendentes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84" w:right="265"/>
              <w:jc w:val="center"/>
              <w:rPr>
                <w:sz w:val="11"/>
              </w:rPr>
            </w:pPr>
            <w:r>
              <w:rPr>
                <w:sz w:val="11"/>
              </w:rPr>
              <w:t>729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52"/>
              <w:rPr>
                <w:sz w:val="11"/>
              </w:rPr>
            </w:pPr>
            <w:r>
              <w:rPr>
                <w:sz w:val="11"/>
              </w:rPr>
              <w:t>21 de Junio de 2012</w:t>
            </w:r>
          </w:p>
        </w:tc>
        <w:tc>
          <w:tcPr>
            <w:tcW w:w="263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69" w:right="550"/>
              <w:jc w:val="center"/>
              <w:rPr>
                <w:sz w:val="11"/>
              </w:rPr>
            </w:pPr>
            <w:hyperlink r:id="rId12">
              <w:r>
                <w:rPr>
                  <w:color w:val="0000FF"/>
                  <w:sz w:val="11"/>
                  <w:u w:val="single" w:color="0000FF"/>
                </w:rPr>
                <w:t>Instructivo Intendentes</w:t>
              </w:r>
            </w:hyperlink>
          </w:p>
        </w:tc>
      </w:tr>
      <w:tr>
        <w:trPr>
          <w:trHeight w:val="542" w:hRule="atLeast"/>
        </w:trPr>
        <w:tc>
          <w:tcPr>
            <w:tcW w:w="331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56" w:right="340"/>
              <w:jc w:val="center"/>
              <w:rPr>
                <w:sz w:val="11"/>
              </w:rPr>
            </w:pPr>
            <w:r>
              <w:rPr>
                <w:sz w:val="11"/>
              </w:rPr>
              <w:t>Reglamento Talento Humano Ministerio del Interior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84" w:right="265"/>
              <w:jc w:val="center"/>
              <w:rPr>
                <w:sz w:val="11"/>
              </w:rPr>
            </w:pPr>
            <w:r>
              <w:rPr>
                <w:sz w:val="11"/>
              </w:rPr>
              <w:t>66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14"/>
              <w:rPr>
                <w:sz w:val="11"/>
              </w:rPr>
            </w:pPr>
            <w:r>
              <w:rPr>
                <w:sz w:val="11"/>
              </w:rPr>
              <w:t>30 de Agosto de 2010</w:t>
            </w:r>
          </w:p>
        </w:tc>
        <w:tc>
          <w:tcPr>
            <w:tcW w:w="263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69" w:right="545"/>
              <w:jc w:val="center"/>
              <w:rPr>
                <w:sz w:val="11"/>
              </w:rPr>
            </w:pPr>
            <w:hyperlink r:id="rId13">
              <w:r>
                <w:rPr>
                  <w:color w:val="0000FF"/>
                  <w:sz w:val="11"/>
                  <w:u w:val="single" w:color="0000FF"/>
                </w:rPr>
                <w:t>Reeglamento TTHH MD</w:t>
              </w:r>
              <w:r>
                <w:rPr>
                  <w:color w:val="0000FF"/>
                  <w:sz w:val="11"/>
                </w:rPr>
                <w:t>I</w:t>
              </w:r>
            </w:hyperlink>
          </w:p>
        </w:tc>
      </w:tr>
      <w:tr>
        <w:trPr>
          <w:trHeight w:val="541" w:hRule="atLeast"/>
        </w:trPr>
        <w:tc>
          <w:tcPr>
            <w:tcW w:w="331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56" w:right="340"/>
              <w:jc w:val="center"/>
              <w:rPr>
                <w:sz w:val="11"/>
              </w:rPr>
            </w:pPr>
            <w:r>
              <w:rPr>
                <w:sz w:val="11"/>
              </w:rPr>
              <w:t>Estatuto Orgánico por Procesos del Ministerio del Interior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84" w:right="266"/>
              <w:jc w:val="center"/>
              <w:rPr>
                <w:sz w:val="11"/>
              </w:rPr>
            </w:pPr>
            <w:r>
              <w:rPr>
                <w:sz w:val="11"/>
              </w:rPr>
              <w:t>112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442"/>
              <w:rPr>
                <w:sz w:val="11"/>
              </w:rPr>
            </w:pPr>
            <w:r>
              <w:rPr>
                <w:sz w:val="11"/>
              </w:rPr>
              <w:t>13 de Octubre de 2017</w:t>
            </w:r>
          </w:p>
        </w:tc>
        <w:tc>
          <w:tcPr>
            <w:tcW w:w="263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69" w:right="545"/>
              <w:jc w:val="center"/>
              <w:rPr>
                <w:sz w:val="11"/>
              </w:rPr>
            </w:pPr>
            <w:hyperlink r:id="rId14">
              <w:r>
                <w:rPr>
                  <w:color w:val="0000FF"/>
                  <w:sz w:val="11"/>
                  <w:u w:val="single" w:color="0000FF"/>
                </w:rPr>
                <w:t>Estatuto Procesos MD</w:t>
              </w:r>
              <w:r>
                <w:rPr>
                  <w:color w:val="0000FF"/>
                  <w:sz w:val="11"/>
                </w:rPr>
                <w:t>I</w:t>
              </w:r>
            </w:hyperlink>
          </w:p>
        </w:tc>
      </w:tr>
      <w:tr>
        <w:trPr>
          <w:trHeight w:val="306" w:hRule="atLeast"/>
        </w:trPr>
        <w:tc>
          <w:tcPr>
            <w:tcW w:w="9502" w:type="dxa"/>
            <w:gridSpan w:val="4"/>
            <w:shd w:val="clear" w:color="auto" w:fill="C5D9EF"/>
          </w:tcPr>
          <w:p>
            <w:pPr>
              <w:pStyle w:val="TableParagraph"/>
              <w:spacing w:before="82"/>
              <w:ind w:left="2624" w:right="260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Detalle correspondiente a la reserva de información</w:t>
            </w:r>
          </w:p>
        </w:tc>
      </w:tr>
      <w:tr>
        <w:trPr>
          <w:trHeight w:val="379" w:hRule="atLeast"/>
        </w:trPr>
        <w:tc>
          <w:tcPr>
            <w:tcW w:w="9502" w:type="dxa"/>
            <w:gridSpan w:val="4"/>
          </w:tcPr>
          <w:p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130" w:lineRule="atLeast"/>
              <w:ind w:left="4408" w:right="2212" w:hanging="2157"/>
              <w:rPr>
                <w:sz w:val="11"/>
              </w:rPr>
            </w:pPr>
            <w:r>
              <w:rPr>
                <w:sz w:val="11"/>
              </w:rPr>
              <w:t>NO APLICA, EN VIRTUD QUE LA GOBERNACIÓN DE MORONA SANTIAGO NO POSEE INFORMACIÓN RESERVADA Y CONFIDENCIAL.</w:t>
            </w:r>
          </w:p>
        </w:tc>
      </w:tr>
      <w:tr>
        <w:trPr>
          <w:trHeight w:val="257" w:hRule="atLeast"/>
        </w:trPr>
        <w:tc>
          <w:tcPr>
            <w:tcW w:w="4883" w:type="dxa"/>
            <w:gridSpan w:val="2"/>
          </w:tcPr>
          <w:p>
            <w:pPr>
              <w:pStyle w:val="TableParagraph"/>
              <w:spacing w:before="62"/>
              <w:ind w:left="33"/>
              <w:rPr>
                <w:b/>
                <w:sz w:val="10"/>
              </w:rPr>
            </w:pPr>
            <w:r>
              <w:rPr>
                <w:b/>
                <w:sz w:val="10"/>
              </w:rPr>
              <w:t>FECHA ACTUALIZACIÓN DE LA INFORMACIÓN:</w:t>
            </w:r>
          </w:p>
        </w:tc>
        <w:tc>
          <w:tcPr>
            <w:tcW w:w="4619" w:type="dxa"/>
            <w:gridSpan w:val="2"/>
          </w:tcPr>
          <w:p>
            <w:pPr>
              <w:pStyle w:val="TableParagraph"/>
              <w:spacing w:before="57"/>
              <w:ind w:left="1785" w:right="1755"/>
              <w:jc w:val="center"/>
              <w:rPr>
                <w:sz w:val="11"/>
              </w:rPr>
            </w:pPr>
            <w:r>
              <w:rPr>
                <w:sz w:val="11"/>
              </w:rPr>
              <w:t>30/06/2020</w:t>
            </w:r>
          </w:p>
        </w:tc>
      </w:tr>
      <w:tr>
        <w:trPr>
          <w:trHeight w:val="369" w:hRule="atLeast"/>
        </w:trPr>
        <w:tc>
          <w:tcPr>
            <w:tcW w:w="488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3"/>
              <w:rPr>
                <w:b/>
                <w:sz w:val="10"/>
              </w:rPr>
            </w:pPr>
            <w:r>
              <w:rPr>
                <w:b/>
                <w:sz w:val="10"/>
              </w:rPr>
              <w:t>PERIODICIDAD DE ACTUALIZACIÓN DE LA INFORMACIÓN:</w:t>
            </w:r>
          </w:p>
        </w:tc>
        <w:tc>
          <w:tcPr>
            <w:tcW w:w="4619" w:type="dxa"/>
            <w:gridSpan w:val="2"/>
          </w:tcPr>
          <w:p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785" w:right="1762"/>
              <w:jc w:val="center"/>
              <w:rPr>
                <w:sz w:val="11"/>
              </w:rPr>
            </w:pPr>
            <w:r>
              <w:rPr>
                <w:sz w:val="11"/>
              </w:rPr>
              <w:t>MENSUAL</w:t>
            </w:r>
          </w:p>
        </w:tc>
      </w:tr>
      <w:tr>
        <w:trPr>
          <w:trHeight w:val="383" w:hRule="atLeast"/>
        </w:trPr>
        <w:tc>
          <w:tcPr>
            <w:tcW w:w="4883" w:type="dxa"/>
            <w:gridSpan w:val="2"/>
          </w:tcPr>
          <w:p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3"/>
              <w:rPr>
                <w:b/>
                <w:sz w:val="10"/>
              </w:rPr>
            </w:pPr>
            <w:r>
              <w:rPr>
                <w:b/>
                <w:sz w:val="10"/>
              </w:rPr>
              <w:t>UNIDAD POSEEDORA DE LA INFORMACION - LITERAL a3):</w:t>
            </w:r>
          </w:p>
        </w:tc>
        <w:tc>
          <w:tcPr>
            <w:tcW w:w="4619" w:type="dxa"/>
            <w:gridSpan w:val="2"/>
          </w:tcPr>
          <w:p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777" w:right="1766"/>
              <w:jc w:val="center"/>
              <w:rPr>
                <w:sz w:val="11"/>
              </w:rPr>
            </w:pPr>
            <w:r>
              <w:rPr>
                <w:sz w:val="11"/>
              </w:rPr>
              <w:t>ASESORÍA JURÍDICA</w:t>
            </w:r>
          </w:p>
        </w:tc>
      </w:tr>
      <w:tr>
        <w:trPr>
          <w:trHeight w:val="335" w:hRule="atLeast"/>
        </w:trPr>
        <w:tc>
          <w:tcPr>
            <w:tcW w:w="4883" w:type="dxa"/>
            <w:gridSpan w:val="2"/>
          </w:tcPr>
          <w:p>
            <w:pPr>
              <w:pStyle w:val="TableParagraph"/>
              <w:spacing w:before="72"/>
              <w:ind w:left="33"/>
              <w:rPr>
                <w:b/>
                <w:sz w:val="10"/>
              </w:rPr>
            </w:pPr>
            <w:r>
              <w:rPr>
                <w:b/>
                <w:sz w:val="10"/>
              </w:rPr>
              <w:t>RESPONSABLE DE LA UNIDAD POSEEDORA DE LA INFORMACIÓN DEL LITERAL a3):</w:t>
            </w:r>
          </w:p>
        </w:tc>
        <w:tc>
          <w:tcPr>
            <w:tcW w:w="4619" w:type="dxa"/>
            <w:gridSpan w:val="2"/>
          </w:tcPr>
          <w:p>
            <w:pPr>
              <w:pStyle w:val="TableParagraph"/>
              <w:spacing w:line="130" w:lineRule="atLeast" w:before="68"/>
              <w:ind w:left="1785" w:right="1766"/>
              <w:jc w:val="center"/>
              <w:rPr>
                <w:sz w:val="11"/>
              </w:rPr>
            </w:pPr>
            <w:r>
              <w:rPr>
                <w:sz w:val="11"/>
              </w:rPr>
              <w:t>AB. ESTER ALEXANDRA CARREÑO SANCHEZ</w:t>
            </w:r>
          </w:p>
        </w:tc>
      </w:tr>
      <w:tr>
        <w:trPr>
          <w:trHeight w:val="291" w:hRule="atLeast"/>
        </w:trPr>
        <w:tc>
          <w:tcPr>
            <w:tcW w:w="4883" w:type="dxa"/>
            <w:gridSpan w:val="2"/>
          </w:tcPr>
          <w:p>
            <w:pPr>
              <w:pStyle w:val="TableParagraph"/>
              <w:spacing w:before="77"/>
              <w:ind w:left="33"/>
              <w:rPr>
                <w:b/>
                <w:sz w:val="10"/>
              </w:rPr>
            </w:pPr>
            <w:r>
              <w:rPr>
                <w:b/>
                <w:sz w:val="10"/>
              </w:rPr>
              <w:t>CORREO ELECTRÓNICO DEL O LA RESPONSABLE DE LA UNIDAD POSEEDORA DE LA INFORMACIÓN:</w:t>
            </w:r>
          </w:p>
        </w:tc>
        <w:tc>
          <w:tcPr>
            <w:tcW w:w="4619" w:type="dxa"/>
            <w:gridSpan w:val="2"/>
          </w:tcPr>
          <w:p>
            <w:pPr>
              <w:pStyle w:val="TableParagraph"/>
              <w:spacing w:before="72"/>
              <w:ind w:left="1780" w:right="1766"/>
              <w:jc w:val="center"/>
              <w:rPr>
                <w:sz w:val="11"/>
              </w:rPr>
            </w:pPr>
            <w:hyperlink r:id="rId15">
              <w:r>
                <w:rPr>
                  <w:color w:val="0000FF"/>
                  <w:sz w:val="11"/>
                  <w:u w:val="single" w:color="0000FF"/>
                </w:rPr>
                <w:t>juridico@gms.gob.ec</w:t>
              </w:r>
            </w:hyperlink>
          </w:p>
        </w:tc>
      </w:tr>
      <w:tr>
        <w:trPr>
          <w:trHeight w:val="306" w:hRule="atLeast"/>
        </w:trPr>
        <w:tc>
          <w:tcPr>
            <w:tcW w:w="4883" w:type="dxa"/>
            <w:gridSpan w:val="2"/>
          </w:tcPr>
          <w:p>
            <w:pPr>
              <w:pStyle w:val="TableParagraph"/>
              <w:spacing w:before="87"/>
              <w:ind w:left="33"/>
              <w:rPr>
                <w:b/>
                <w:sz w:val="10"/>
              </w:rPr>
            </w:pPr>
            <w:r>
              <w:rPr>
                <w:b/>
                <w:sz w:val="10"/>
              </w:rPr>
              <w:t>NÚMERO TELEFÓNICO DEL O LA RESPONSABLE DE LA UNIDAD POSEEDORA DE LA INFORMACIÓN:</w:t>
            </w:r>
          </w:p>
        </w:tc>
        <w:tc>
          <w:tcPr>
            <w:tcW w:w="4619" w:type="dxa"/>
            <w:gridSpan w:val="2"/>
          </w:tcPr>
          <w:p>
            <w:pPr>
              <w:pStyle w:val="TableParagraph"/>
              <w:spacing w:before="82"/>
              <w:ind w:left="1785" w:right="1762"/>
              <w:jc w:val="center"/>
              <w:rPr>
                <w:sz w:val="11"/>
              </w:rPr>
            </w:pPr>
            <w:r>
              <w:rPr>
                <w:sz w:val="11"/>
              </w:rPr>
              <w:t>(07) 2 700 050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8"/>
        </w:rPr>
      </w:pPr>
    </w:p>
    <w:p>
      <w:pPr>
        <w:pStyle w:val="BodyText"/>
        <w:tabs>
          <w:tab w:pos="5127" w:val="left" w:leader="none"/>
          <w:tab w:pos="9012" w:val="left" w:leader="none"/>
        </w:tabs>
        <w:spacing w:before="78"/>
        <w:ind w:left="119"/>
      </w:pPr>
      <w:r>
        <w:rPr/>
        <w:t>1de1</w:t>
        <w:tab/>
        <w:t>GOBERNACIÓNDEMORONA</w:t>
      </w:r>
      <w:r>
        <w:rPr>
          <w:spacing w:val="-7"/>
        </w:rPr>
        <w:t> </w:t>
      </w:r>
      <w:r>
        <w:rPr/>
        <w:t>SANTIAGO</w:t>
        <w:tab/>
        <w:t>literal a3) regulaciones y procedimientos</w:t>
      </w:r>
      <w:r>
        <w:rPr>
          <w:spacing w:val="-17"/>
        </w:rPr>
        <w:t> </w:t>
      </w:r>
      <w:r>
        <w:rPr/>
        <w:t>internos</w:t>
      </w:r>
    </w:p>
    <w:sectPr>
      <w:type w:val="continuous"/>
      <w:pgSz w:w="11910" w:h="16840"/>
      <w:pgMar w:top="200" w:bottom="0" w:left="1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1"/>
      <w:szCs w:val="11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https://drive.google.com/file/d/0BzlwxDc9uXZOOHVqWVluTWJWeXM/view" TargetMode="External"/><Relationship Id="rId8" Type="http://schemas.openxmlformats.org/officeDocument/2006/relationships/hyperlink" Target="https://drive.google.com/file/d/0BzlwxDc9uXZOdVVaeUJtMFhQMVk/view" TargetMode="External"/><Relationship Id="rId9" Type="http://schemas.openxmlformats.org/officeDocument/2006/relationships/hyperlink" Target="https://drive.google.com/file/d/0BzlwxDc9uXZOalJLWGtQMFV1NFk/view" TargetMode="External"/><Relationship Id="rId10" Type="http://schemas.openxmlformats.org/officeDocument/2006/relationships/hyperlink" Target="http://gobernacionimbabura.gob.ec/wp-content/uploads/downloads/2015/03/REGLAMENTO_DE_LA_LEY_DE_VENTAS_DE_BIENES_POR_SORTEO.pdf" TargetMode="External"/><Relationship Id="rId11" Type="http://schemas.openxmlformats.org/officeDocument/2006/relationships/hyperlink" Target="https://drive.google.com/file/d/0BzlwxDc9uXZOR2NMMkZYa1RybGc/view" TargetMode="External"/><Relationship Id="rId12" Type="http://schemas.openxmlformats.org/officeDocument/2006/relationships/hyperlink" Target="http://gobernacioncanar.gob.ec/wp-content/uploads/downloads/2014/02/INSTRUCTIVO-PARA-LA-INTERVENCION-DE-INTENDENTES.pdf" TargetMode="External"/><Relationship Id="rId13" Type="http://schemas.openxmlformats.org/officeDocument/2006/relationships/hyperlink" Target="https://www.ministeriodegobierno.gob.ec/wp-content/uploads/downloads/2012/11/Regulaciones-y-Procedimientos-Internos.pdf" TargetMode="External"/><Relationship Id="rId14" Type="http://schemas.openxmlformats.org/officeDocument/2006/relationships/hyperlink" Target="http://www.goberguayas.gob.ec/pdf/LOTAIP/Leyes/6-1-EOPMDI_Oct-2017.pdf" TargetMode="External"/><Relationship Id="rId15" Type="http://schemas.openxmlformats.org/officeDocument/2006/relationships/hyperlink" Target="mailto:juridico@gms.gob.ec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jtorres66</dc:creator>
  <dcterms:created xsi:type="dcterms:W3CDTF">2020-07-15T00:36:08Z</dcterms:created>
  <dcterms:modified xsi:type="dcterms:W3CDTF">2020-07-15T00:36:08Z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2020-07-15T00:00:00Z</vt:filetime>
  </property>
</Properties>
</file>